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C3D" w:rsidRDefault="00317C3D" w:rsidP="00317C3D"/>
    <w:p w:rsidR="00317C3D" w:rsidRDefault="00317C3D" w:rsidP="00317C3D"/>
    <w:p w:rsidR="00317C3D" w:rsidRDefault="00317C3D" w:rsidP="00317C3D">
      <w:pPr>
        <w:shd w:val="clear" w:color="auto" w:fill="365F91"/>
        <w:jc w:val="center"/>
        <w:rPr>
          <w:rFonts w:ascii="Times New Roman" w:hAnsi="Times New Roman"/>
          <w:color w:val="FFFFFF"/>
          <w:sz w:val="40"/>
          <w:szCs w:val="40"/>
        </w:rPr>
      </w:pPr>
      <w:bookmarkStart w:id="0" w:name="_GoBack"/>
      <w:r>
        <w:rPr>
          <w:rFonts w:ascii="Times New Roman" w:hAnsi="Times New Roman"/>
          <w:b/>
          <w:bCs/>
          <w:color w:val="FFFFFF"/>
          <w:sz w:val="44"/>
          <w:szCs w:val="44"/>
        </w:rPr>
        <w:t>Legislation of Interest</w:t>
      </w:r>
    </w:p>
    <w:tbl>
      <w:tblPr>
        <w:tblW w:w="0" w:type="auto"/>
        <w:tblCellMar>
          <w:left w:w="0" w:type="dxa"/>
          <w:right w:w="0" w:type="dxa"/>
        </w:tblCellMar>
        <w:tblLook w:val="04A0" w:firstRow="1" w:lastRow="0" w:firstColumn="1" w:lastColumn="0" w:noHBand="0" w:noVBand="1"/>
      </w:tblPr>
      <w:tblGrid>
        <w:gridCol w:w="3098"/>
        <w:gridCol w:w="3123"/>
        <w:gridCol w:w="3119"/>
      </w:tblGrid>
      <w:tr w:rsidR="00317C3D" w:rsidTr="00317C3D">
        <w:tc>
          <w:tcPr>
            <w:tcW w:w="31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bookmarkEnd w:id="0"/>
          <w:p w:rsidR="00317C3D" w:rsidRDefault="00317C3D">
            <w:pPr>
              <w:keepNext/>
              <w:spacing w:before="200"/>
              <w:jc w:val="center"/>
              <w:rPr>
                <w:rFonts w:ascii="Cambria" w:hAnsi="Cambria"/>
                <w:b/>
                <w:bCs/>
                <w:color w:val="4F81BD"/>
                <w:sz w:val="26"/>
                <w:szCs w:val="26"/>
              </w:rPr>
            </w:pPr>
            <w:r>
              <w:rPr>
                <w:rFonts w:ascii="Cambria" w:hAnsi="Cambria"/>
                <w:b/>
                <w:bCs/>
                <w:color w:val="4F81BD"/>
                <w:sz w:val="26"/>
                <w:szCs w:val="26"/>
              </w:rPr>
              <w:fldChar w:fldCharType="begin"/>
            </w:r>
            <w:r>
              <w:rPr>
                <w:rFonts w:ascii="Cambria" w:hAnsi="Cambria"/>
                <w:b/>
                <w:bCs/>
                <w:color w:val="4F81BD"/>
                <w:sz w:val="26"/>
                <w:szCs w:val="26"/>
              </w:rPr>
              <w:instrText xml:space="preserve"> HYPERLINK "http://www.scstatehouse.gov/sess121_2015-2016/bills/532.htm" </w:instrText>
            </w:r>
            <w:r>
              <w:rPr>
                <w:rFonts w:ascii="Cambria" w:hAnsi="Cambria"/>
                <w:b/>
                <w:bCs/>
                <w:color w:val="4F81BD"/>
                <w:sz w:val="26"/>
                <w:szCs w:val="26"/>
              </w:rPr>
              <w:fldChar w:fldCharType="separate"/>
            </w:r>
            <w:r>
              <w:rPr>
                <w:rStyle w:val="Hyperlink"/>
                <w:rFonts w:ascii="Cambria" w:hAnsi="Cambria"/>
                <w:b/>
                <w:bCs/>
                <w:sz w:val="26"/>
                <w:szCs w:val="26"/>
              </w:rPr>
              <w:t>S. 532</w:t>
            </w:r>
            <w:r>
              <w:rPr>
                <w:rFonts w:ascii="Cambria" w:hAnsi="Cambria"/>
                <w:b/>
                <w:bCs/>
                <w:color w:val="4F81BD"/>
                <w:sz w:val="26"/>
                <w:szCs w:val="26"/>
              </w:rPr>
              <w:fldChar w:fldCharType="end"/>
            </w:r>
          </w:p>
        </w:tc>
        <w:tc>
          <w:tcPr>
            <w:tcW w:w="31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7C3D" w:rsidRDefault="00317C3D">
            <w:pPr>
              <w:keepNext/>
              <w:spacing w:before="200"/>
              <w:jc w:val="center"/>
              <w:rPr>
                <w:rFonts w:ascii="Cambria" w:hAnsi="Cambria"/>
                <w:b/>
                <w:bCs/>
                <w:color w:val="4F81BD"/>
                <w:sz w:val="26"/>
                <w:szCs w:val="26"/>
              </w:rPr>
            </w:pPr>
            <w:r>
              <w:rPr>
                <w:rFonts w:ascii="Cambria" w:hAnsi="Cambria"/>
                <w:b/>
                <w:bCs/>
                <w:color w:val="4F81BD"/>
                <w:sz w:val="26"/>
                <w:szCs w:val="26"/>
              </w:rPr>
              <w:t>Historic Structure Tax Credits</w:t>
            </w:r>
          </w:p>
        </w:tc>
        <w:tc>
          <w:tcPr>
            <w:tcW w:w="31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7C3D" w:rsidRDefault="00317C3D">
            <w:pPr>
              <w:keepNext/>
              <w:spacing w:before="200"/>
              <w:jc w:val="center"/>
              <w:rPr>
                <w:rFonts w:ascii="Cambria" w:hAnsi="Cambria"/>
                <w:b/>
                <w:bCs/>
                <w:color w:val="4F81BD"/>
                <w:sz w:val="26"/>
                <w:szCs w:val="26"/>
              </w:rPr>
            </w:pPr>
            <w:r>
              <w:rPr>
                <w:rFonts w:ascii="Cambria" w:hAnsi="Cambria"/>
                <w:b/>
                <w:bCs/>
                <w:color w:val="4F81BD"/>
                <w:sz w:val="26"/>
                <w:szCs w:val="26"/>
              </w:rPr>
              <w:t>Coleman</w:t>
            </w:r>
          </w:p>
        </w:tc>
      </w:tr>
    </w:tbl>
    <w:p w:rsidR="00317C3D" w:rsidRDefault="00317C3D" w:rsidP="00317C3D">
      <w:pPr>
        <w:spacing w:after="200" w:line="276" w:lineRule="auto"/>
        <w:rPr>
          <w:rFonts w:ascii="Times New Roman" w:hAnsi="Times New Roman"/>
        </w:rPr>
      </w:pPr>
      <w:r w:rsidRPr="00317C3D">
        <w:rPr>
          <w:rFonts w:ascii="Times New Roman" w:hAnsi="Times New Roman"/>
          <w:b/>
        </w:rPr>
        <w:t>March 13, 2015</w:t>
      </w:r>
      <w:r>
        <w:rPr>
          <w:rFonts w:ascii="Times New Roman" w:hAnsi="Times New Roman"/>
        </w:rPr>
        <w:t xml:space="preserve"> - </w:t>
      </w:r>
      <w:r>
        <w:rPr>
          <w:rFonts w:ascii="Times New Roman" w:hAnsi="Times New Roman"/>
        </w:rPr>
        <w:t>Senator Creighton Coleman (D-Fairfield) has introduced a comprehensive bill that would define the terms and conditions for creating a new 25% tax credit for historic structures.  In this bill, a taxpayer electing a twenty-five percent tax credit may not claim a credit that exceeds one million dollars for each certified historic structure. The limitation provided for in this item does not apply to credits claimed for qualified rehabilitation expenditures related to any state-owned abandoned building.  This bill was read the first time and referred to the Senate Finance Committee.</w:t>
      </w:r>
    </w:p>
    <w:p w:rsidR="00317C3D" w:rsidRDefault="00317C3D" w:rsidP="00317C3D">
      <w:pPr>
        <w:shd w:val="clear" w:color="auto" w:fill="365F91"/>
        <w:jc w:val="center"/>
        <w:rPr>
          <w:rFonts w:ascii="Bodoni MT Condensed" w:hAnsi="Bodoni MT Condensed"/>
          <w:b/>
          <w:bCs/>
          <w:color w:val="FFFFFF"/>
          <w:sz w:val="32"/>
          <w:szCs w:val="32"/>
        </w:rPr>
      </w:pPr>
      <w:proofErr w:type="spellStart"/>
      <w:r>
        <w:rPr>
          <w:rFonts w:ascii="Bodoni MT Condensed" w:hAnsi="Bodoni MT Condensed"/>
          <w:b/>
          <w:bCs/>
          <w:color w:val="FFFFFF"/>
          <w:sz w:val="32"/>
          <w:szCs w:val="32"/>
        </w:rPr>
        <w:t>Capitol</w:t>
      </w:r>
      <w:proofErr w:type="spellEnd"/>
      <w:r>
        <w:rPr>
          <w:rFonts w:ascii="Bodoni MT Condensed" w:hAnsi="Bodoni MT Condensed"/>
          <w:b/>
          <w:bCs/>
          <w:color w:val="FFFFFF"/>
          <w:sz w:val="32"/>
          <w:szCs w:val="32"/>
        </w:rPr>
        <w:t xml:space="preserve"> Consultants </w:t>
      </w:r>
    </w:p>
    <w:p w:rsidR="00317C3D" w:rsidRDefault="00317C3D" w:rsidP="00317C3D">
      <w:pPr>
        <w:shd w:val="clear" w:color="auto" w:fill="365F91"/>
        <w:jc w:val="center"/>
        <w:rPr>
          <w:rFonts w:ascii="Bodoni MT Condensed" w:hAnsi="Bodoni MT Condensed"/>
          <w:b/>
          <w:bCs/>
          <w:color w:val="FFFFFF"/>
          <w:sz w:val="32"/>
          <w:szCs w:val="32"/>
        </w:rPr>
      </w:pPr>
      <w:r>
        <w:rPr>
          <w:rFonts w:ascii="Bodoni MT Condensed" w:hAnsi="Bodoni MT Condensed"/>
          <w:b/>
          <w:bCs/>
          <w:color w:val="FFFFFF"/>
          <w:sz w:val="32"/>
          <w:szCs w:val="32"/>
        </w:rPr>
        <w:t>Government Affairs</w:t>
      </w:r>
    </w:p>
    <w:p w:rsidR="00317C3D" w:rsidRDefault="00317C3D" w:rsidP="00317C3D">
      <w:pPr>
        <w:shd w:val="clear" w:color="auto" w:fill="365F91"/>
        <w:jc w:val="center"/>
        <w:rPr>
          <w:rFonts w:ascii="Times New Roman" w:hAnsi="Times New Roman"/>
          <w:b/>
          <w:bCs/>
          <w:color w:val="FFFFFF"/>
          <w:sz w:val="24"/>
          <w:szCs w:val="24"/>
        </w:rPr>
      </w:pPr>
      <w:r>
        <w:rPr>
          <w:rFonts w:ascii="Times New Roman" w:hAnsi="Times New Roman"/>
          <w:b/>
          <w:bCs/>
          <w:color w:val="FFFFFF"/>
          <w:sz w:val="24"/>
          <w:szCs w:val="24"/>
        </w:rPr>
        <w:t>803.252.1087</w:t>
      </w:r>
    </w:p>
    <w:p w:rsidR="00317C3D" w:rsidRDefault="00317C3D" w:rsidP="00317C3D">
      <w:pPr>
        <w:shd w:val="clear" w:color="auto" w:fill="365F91"/>
        <w:jc w:val="center"/>
        <w:rPr>
          <w:rFonts w:ascii="Times New Roman" w:hAnsi="Times New Roman"/>
          <w:b/>
          <w:bCs/>
          <w:i/>
          <w:iCs/>
          <w:color w:val="FFFFFF"/>
          <w:sz w:val="24"/>
          <w:szCs w:val="24"/>
        </w:rPr>
      </w:pPr>
      <w:hyperlink r:id="rId4" w:history="1">
        <w:r>
          <w:rPr>
            <w:rStyle w:val="Hyperlink"/>
            <w:rFonts w:ascii="Times New Roman" w:hAnsi="Times New Roman"/>
            <w:b/>
            <w:bCs/>
            <w:i/>
            <w:iCs/>
            <w:color w:val="FFFFFF"/>
            <w:sz w:val="24"/>
            <w:szCs w:val="24"/>
          </w:rPr>
          <w:t>www.capconsc.com</w:t>
        </w:r>
      </w:hyperlink>
    </w:p>
    <w:p w:rsidR="0096537E" w:rsidRDefault="0096537E"/>
    <w:sectPr w:rsidR="009653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odoni MT Condensed">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C3D"/>
    <w:rsid w:val="00010E6E"/>
    <w:rsid w:val="000362D9"/>
    <w:rsid w:val="000536C8"/>
    <w:rsid w:val="00057097"/>
    <w:rsid w:val="00057DC4"/>
    <w:rsid w:val="00074B8A"/>
    <w:rsid w:val="00082311"/>
    <w:rsid w:val="000925BB"/>
    <w:rsid w:val="000969CC"/>
    <w:rsid w:val="000B7D13"/>
    <w:rsid w:val="000C1B12"/>
    <w:rsid w:val="000C436F"/>
    <w:rsid w:val="000C464A"/>
    <w:rsid w:val="000C4EE4"/>
    <w:rsid w:val="000C5903"/>
    <w:rsid w:val="000D093A"/>
    <w:rsid w:val="0011729B"/>
    <w:rsid w:val="00145006"/>
    <w:rsid w:val="00173AF3"/>
    <w:rsid w:val="00187978"/>
    <w:rsid w:val="001A2BD8"/>
    <w:rsid w:val="001A37AD"/>
    <w:rsid w:val="001B407D"/>
    <w:rsid w:val="001D339C"/>
    <w:rsid w:val="001F5056"/>
    <w:rsid w:val="002130DC"/>
    <w:rsid w:val="002253A1"/>
    <w:rsid w:val="002566FB"/>
    <w:rsid w:val="0029588D"/>
    <w:rsid w:val="002B2BDE"/>
    <w:rsid w:val="002B5363"/>
    <w:rsid w:val="002C16F2"/>
    <w:rsid w:val="002C195C"/>
    <w:rsid w:val="002D205F"/>
    <w:rsid w:val="002D688A"/>
    <w:rsid w:val="002F0593"/>
    <w:rsid w:val="003033D8"/>
    <w:rsid w:val="0031043D"/>
    <w:rsid w:val="00315CFA"/>
    <w:rsid w:val="00315F99"/>
    <w:rsid w:val="00317C3D"/>
    <w:rsid w:val="00321834"/>
    <w:rsid w:val="00331F3D"/>
    <w:rsid w:val="00363B14"/>
    <w:rsid w:val="003739A7"/>
    <w:rsid w:val="003757DA"/>
    <w:rsid w:val="00437F15"/>
    <w:rsid w:val="00471AB0"/>
    <w:rsid w:val="0049128E"/>
    <w:rsid w:val="004A3ACE"/>
    <w:rsid w:val="004D7D0E"/>
    <w:rsid w:val="004E5D74"/>
    <w:rsid w:val="00521659"/>
    <w:rsid w:val="00522365"/>
    <w:rsid w:val="00572F7C"/>
    <w:rsid w:val="005839F0"/>
    <w:rsid w:val="00591597"/>
    <w:rsid w:val="0059544A"/>
    <w:rsid w:val="005D5FC9"/>
    <w:rsid w:val="005E1CA5"/>
    <w:rsid w:val="005E7B7C"/>
    <w:rsid w:val="005F679F"/>
    <w:rsid w:val="005F70EF"/>
    <w:rsid w:val="006000CE"/>
    <w:rsid w:val="00670447"/>
    <w:rsid w:val="00683FC1"/>
    <w:rsid w:val="0069703C"/>
    <w:rsid w:val="006E53C9"/>
    <w:rsid w:val="0072305B"/>
    <w:rsid w:val="00741515"/>
    <w:rsid w:val="00745A44"/>
    <w:rsid w:val="00747354"/>
    <w:rsid w:val="00747418"/>
    <w:rsid w:val="007672F0"/>
    <w:rsid w:val="00774482"/>
    <w:rsid w:val="00792C53"/>
    <w:rsid w:val="007B08C1"/>
    <w:rsid w:val="007B1197"/>
    <w:rsid w:val="007B303C"/>
    <w:rsid w:val="007B6B39"/>
    <w:rsid w:val="007E663D"/>
    <w:rsid w:val="007F2EC1"/>
    <w:rsid w:val="007F4D6C"/>
    <w:rsid w:val="0085509A"/>
    <w:rsid w:val="008C76ED"/>
    <w:rsid w:val="008E01D0"/>
    <w:rsid w:val="008E2DC3"/>
    <w:rsid w:val="008E6D81"/>
    <w:rsid w:val="008F5691"/>
    <w:rsid w:val="00911EEA"/>
    <w:rsid w:val="00916073"/>
    <w:rsid w:val="00922403"/>
    <w:rsid w:val="009356D9"/>
    <w:rsid w:val="00937D66"/>
    <w:rsid w:val="009506EC"/>
    <w:rsid w:val="009529DA"/>
    <w:rsid w:val="009539B9"/>
    <w:rsid w:val="0096537E"/>
    <w:rsid w:val="00983419"/>
    <w:rsid w:val="009A6870"/>
    <w:rsid w:val="009D699A"/>
    <w:rsid w:val="00A21F4A"/>
    <w:rsid w:val="00A34F74"/>
    <w:rsid w:val="00A370EB"/>
    <w:rsid w:val="00A43805"/>
    <w:rsid w:val="00A45B76"/>
    <w:rsid w:val="00A53010"/>
    <w:rsid w:val="00AB01B7"/>
    <w:rsid w:val="00AC79A6"/>
    <w:rsid w:val="00B02ACD"/>
    <w:rsid w:val="00B06696"/>
    <w:rsid w:val="00B17FE1"/>
    <w:rsid w:val="00B52A12"/>
    <w:rsid w:val="00B53AEA"/>
    <w:rsid w:val="00B65A37"/>
    <w:rsid w:val="00B73586"/>
    <w:rsid w:val="00B73D38"/>
    <w:rsid w:val="00B80202"/>
    <w:rsid w:val="00B832C3"/>
    <w:rsid w:val="00C06DB4"/>
    <w:rsid w:val="00C17978"/>
    <w:rsid w:val="00C21B5A"/>
    <w:rsid w:val="00C319FF"/>
    <w:rsid w:val="00C33AE4"/>
    <w:rsid w:val="00C636AD"/>
    <w:rsid w:val="00C81CB6"/>
    <w:rsid w:val="00C869C4"/>
    <w:rsid w:val="00CA1D32"/>
    <w:rsid w:val="00CA4383"/>
    <w:rsid w:val="00CC40F0"/>
    <w:rsid w:val="00D4005E"/>
    <w:rsid w:val="00D45396"/>
    <w:rsid w:val="00D6387F"/>
    <w:rsid w:val="00D704E3"/>
    <w:rsid w:val="00D76A31"/>
    <w:rsid w:val="00D77E90"/>
    <w:rsid w:val="00D95C30"/>
    <w:rsid w:val="00DA19D4"/>
    <w:rsid w:val="00DC2026"/>
    <w:rsid w:val="00DF54BC"/>
    <w:rsid w:val="00DF7E78"/>
    <w:rsid w:val="00E0075B"/>
    <w:rsid w:val="00E31309"/>
    <w:rsid w:val="00E345A5"/>
    <w:rsid w:val="00E541D8"/>
    <w:rsid w:val="00E64381"/>
    <w:rsid w:val="00E7233A"/>
    <w:rsid w:val="00E739E9"/>
    <w:rsid w:val="00E751C1"/>
    <w:rsid w:val="00E85B09"/>
    <w:rsid w:val="00E9260E"/>
    <w:rsid w:val="00E93215"/>
    <w:rsid w:val="00EA44EB"/>
    <w:rsid w:val="00F0247C"/>
    <w:rsid w:val="00F10708"/>
    <w:rsid w:val="00F25063"/>
    <w:rsid w:val="00F6690D"/>
    <w:rsid w:val="00F6733E"/>
    <w:rsid w:val="00F766C9"/>
    <w:rsid w:val="00FC64CA"/>
    <w:rsid w:val="00FD0773"/>
    <w:rsid w:val="00FD7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104A3-84E9-4148-A1F8-448171621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C3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7C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pcons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Brockway</dc:creator>
  <cp:keywords/>
  <dc:description/>
  <cp:lastModifiedBy>Suzanne Brockway</cp:lastModifiedBy>
  <cp:revision>1</cp:revision>
  <dcterms:created xsi:type="dcterms:W3CDTF">2015-03-16T14:24:00Z</dcterms:created>
  <dcterms:modified xsi:type="dcterms:W3CDTF">2015-03-16T14:25:00Z</dcterms:modified>
</cp:coreProperties>
</file>